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BA" w:rsidRDefault="007D37BA" w:rsidP="007D37BA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7D37BA" w:rsidRDefault="007D37BA" w:rsidP="007D37B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7D37BA" w:rsidRDefault="007D37BA" w:rsidP="007D37B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7D37BA" w:rsidRDefault="007D37BA" w:rsidP="007D37B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7D37BA" w:rsidRDefault="007D37BA" w:rsidP="007D37B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7D37BA" w:rsidRDefault="007D37BA" w:rsidP="007D3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37BA" w:rsidRDefault="007D37BA" w:rsidP="007D37BA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(МАОУ Гимназия №177)</w:t>
      </w:r>
    </w:p>
    <w:p w:rsidR="007D37BA" w:rsidRDefault="007D37BA" w:rsidP="007D3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7BA" w:rsidRDefault="007D37BA" w:rsidP="007D37B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90" w:type="dxa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7D37BA" w:rsidRPr="00A34E4A" w:rsidTr="00E3446C">
        <w:trPr>
          <w:jc w:val="center"/>
        </w:trPr>
        <w:tc>
          <w:tcPr>
            <w:tcW w:w="3403" w:type="dxa"/>
          </w:tcPr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34E4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РАССМОТРЕНО </w:t>
            </w:r>
          </w:p>
          <w:p w:rsidR="007D37BA" w:rsidRPr="00A34E4A" w:rsidRDefault="007D37BA" w:rsidP="00E3446C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34E4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на заседании методического объединения учителей естественно-научных предметов</w:t>
            </w:r>
          </w:p>
          <w:p w:rsidR="007D37BA" w:rsidRDefault="007D37BA" w:rsidP="00E3446C">
            <w:pP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  <w:p w:rsidR="007D37BA" w:rsidRDefault="007D37BA" w:rsidP="00E3446C">
            <w:pP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Протокол № 1  от 29.08.2023 г.</w:t>
            </w:r>
          </w:p>
          <w:p w:rsidR="007D37BA" w:rsidRPr="00A34E4A" w:rsidRDefault="007D37BA" w:rsidP="00E344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МАОУ гимназии № 177 </w:t>
            </w: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4E4A"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30.08.2023 г.</w:t>
            </w: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D37BA" w:rsidRPr="00A34E4A" w:rsidRDefault="007D37BA" w:rsidP="00E3446C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МАОУ гимназии № 177  </w:t>
            </w:r>
          </w:p>
          <w:p w:rsidR="007D37BA" w:rsidRPr="00A34E4A" w:rsidRDefault="007D37BA" w:rsidP="00E3446C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Самойленко Татьяна Николаевна</w:t>
            </w: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Приказ № 364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от 30.08.2023 г.</w:t>
            </w:r>
          </w:p>
          <w:p w:rsidR="007D37BA" w:rsidRPr="00A34E4A" w:rsidRDefault="007D37BA" w:rsidP="00E344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D37BA" w:rsidRPr="008509A0" w:rsidRDefault="007D37BA" w:rsidP="007D37BA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D37BA" w:rsidRPr="008509A0" w:rsidRDefault="007D37BA" w:rsidP="007D37BA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D37BA" w:rsidRPr="008509A0" w:rsidRDefault="007D37BA" w:rsidP="007D37BA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7D37BA" w:rsidRPr="000B35BD" w:rsidRDefault="007D37BA" w:rsidP="007D37B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B35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«Химия. Углубленный уровень»</w:t>
      </w:r>
    </w:p>
    <w:p w:rsidR="007D37BA" w:rsidRPr="000B35BD" w:rsidRDefault="007D37BA" w:rsidP="007D37B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B3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10 </w:t>
      </w:r>
      <w:r w:rsidRPr="000B3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B3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 классов</w:t>
      </w: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D37BA" w:rsidRPr="008509A0" w:rsidRDefault="007D37BA" w:rsidP="007D37B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9A0">
        <w:rPr>
          <w:rFonts w:ascii="Times New Roman" w:hAnsi="Times New Roman" w:cs="Times New Roman"/>
          <w:sz w:val="28"/>
          <w:szCs w:val="28"/>
        </w:rPr>
        <w:t>город Екатеринбург, 2023</w:t>
      </w:r>
    </w:p>
    <w:p w:rsidR="007D37BA" w:rsidRPr="008509A0" w:rsidRDefault="007D37BA" w:rsidP="007D37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</w:p>
    <w:p w:rsidR="007D37BA" w:rsidRPr="008509A0" w:rsidRDefault="007D37BA" w:rsidP="007D37BA">
      <w:pPr>
        <w:spacing w:line="240" w:lineRule="auto"/>
        <w:ind w:firstLine="709"/>
        <w:rPr>
          <w:rFonts w:ascii="Times New Roman" w:hAnsi="Times New Roman" w:cs="Times New Roman"/>
        </w:rPr>
      </w:pPr>
      <w:r w:rsidRPr="008509A0">
        <w:rPr>
          <w:rFonts w:ascii="Times New Roman" w:hAnsi="Times New Roman" w:cs="Times New Roman"/>
        </w:rPr>
        <w:br w:type="page"/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химии на уровне среднего общего образования разработана на основе Федерального закона от 29.12.2012 № 273-ФЗ «Об образовании в Российской Федерации», требований к результатам освоения федеральной образовательной программы среднего общего образовани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СОО), представленных в Федеральном государственном образовательном стандарте 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на уровне углублённого изучения занимает важное место в системе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Свидетельством тому являются следующие выполняемые программой по химии функции:</w:t>
      </w:r>
    </w:p>
    <w:p w:rsidR="003766EA" w:rsidRPr="003766EA" w:rsidRDefault="003766EA" w:rsidP="003766EA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предмета, изучаемого в рамках конкретного профиля;</w:t>
      </w:r>
    </w:p>
    <w:p w:rsidR="003766EA" w:rsidRPr="003766EA" w:rsidRDefault="003766EA" w:rsidP="003766EA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углублённого изучения химии:</w:t>
      </w:r>
    </w:p>
    <w:p w:rsidR="003766EA" w:rsidRPr="003766EA" w:rsidRDefault="003766EA" w:rsidP="003766EA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</w:t>
      </w:r>
    </w:p>
    <w:p w:rsidR="003766EA" w:rsidRPr="003766EA" w:rsidRDefault="003766EA" w:rsidP="003766EA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примерное распределение учебного времени, рекомендуемого для изучения отдельных тем;</w:t>
      </w:r>
    </w:p>
    <w:p w:rsidR="003766EA" w:rsidRPr="003766EA" w:rsidRDefault="003766EA" w:rsidP="003766EA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</w:t>
      </w:r>
    </w:p>
    <w:p w:rsidR="003766EA" w:rsidRPr="003766EA" w:rsidRDefault="003766EA" w:rsidP="003766EA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предметных), а также с учётом основных видов учебно-познавательных действий обучающегося по освоению содержания предмета.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образования.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фактологического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квантовомеханических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ужат основой для изучения сущности процессов фотосинтеза, дыхания, пищеварения.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учебными предметами, входящими в состав предметных областей «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предметы», «Математика и информатика» и «Русский язык и литература».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учебного предмета «Химия» на углублённом уровне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3766EA" w:rsidRPr="003766EA" w:rsidRDefault="003766EA" w:rsidP="003766EA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здоровью и природной среде;</w:t>
      </w:r>
    </w:p>
    <w:p w:rsidR="003766EA" w:rsidRPr="003766EA" w:rsidRDefault="003766EA" w:rsidP="003766EA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системы знаний, лежащих в основе химической составляющей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3766EA" w:rsidRPr="003766EA" w:rsidRDefault="003766EA" w:rsidP="003766EA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proofErr w:type="gramEnd"/>
    </w:p>
    <w:p w:rsidR="003766EA" w:rsidRPr="003766EA" w:rsidRDefault="003766EA" w:rsidP="003766EA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3766EA" w:rsidRPr="003766EA" w:rsidRDefault="003766EA" w:rsidP="003766EA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3766EA" w:rsidRPr="003766EA" w:rsidRDefault="003766EA" w:rsidP="003766EA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3766EA" w:rsidRPr="003766EA" w:rsidRDefault="003766EA" w:rsidP="003766EA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3766EA" w:rsidRPr="003766EA" w:rsidRDefault="003766EA" w:rsidP="003766EA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неделю).‌</w:t>
      </w:r>
    </w:p>
    <w:p w:rsidR="003766EA" w:rsidRDefault="003766EA">
      <w:pP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br w:type="page"/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ОРГАНИЧЕСКАЯ ХИМИЯ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органической химии.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значение органической химии, представление о многообразии органических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атомных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σ- 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π-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нуклеофиле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строения органических соединений А.М. 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индуктивный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мезомерный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(IUPAC) и тривиальные названия отдельных представителей.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 классификация органических реакций.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 реакции в органической химии.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ознакомление с образцами органических веществ и материалами на их основе, опыты по превращению органических веще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нагревании (плавление, обугливание и горение), конструирование моделей молекул органических веществ.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Углеводороды.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Гомологический ряд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sp</w:t>
      </w:r>
      <w:r w:rsidRPr="003766E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атомных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углерода,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σ-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связь.  Физические свойства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Химические свойства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реакции замещения, изомеризации, дегидрирования, циклизации, пиролиза, крекинга, горения.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 механизме реакций радикального замещения.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в природе. Способы получения и применение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циклобутан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обычных (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циклопентан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циклогексан)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Способы получения и применение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Гомологический ряд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sp</w:t>
      </w:r>
      <w:r w:rsidRPr="003766E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атомных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углерода, σ- 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π-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 Структурная и геометрическая (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изомерия. Физические свойства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Химические свойства: реакции присоединения, замещения в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α-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сопряжённые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изолированные, 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кумулированные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Гомологический ряд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sp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атомных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углерода. Физические свойства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Химические свойства: реакции присоединения,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димеризации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тримеризации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окисления. Кислотные свойства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концевую тройную связь. Качественные реакции на тройную связь. Способы получения и применение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Ароматические углеводороды (арены). Гомологический ряд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Химические свойства бензола и его гомологов: реакции замещения в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бензольном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бензольном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кольце на примере алкильных радикалов, карбоксильной, гидроксильной,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нитрогруппы, атомов галогенов. Особенности химических свой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ирола. Полимеризация стирола. Способы получения и применение ароматических углеводородов.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перегонка, крекинг (термический, каталитический),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риформинг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пиролиз. Продукты переработки нефти, их применение в промышленности и в быту.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различными классами углеводородов.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гидроксогруппу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 нитрогруппу, 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цианогруппу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аминогруппу. Действие на галогенпроизводные водного и спиртового раствора щёлочи. Взаимодействие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дигалогеналканов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магнием и цинком. 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иодной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 раствора перманганата калия, взаимодействие ацетилена с аммиачным раствором оксида серебра(I)),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 углеводородов и галогенпроизводных углеводородов.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Кислородсодержащие органические соединения.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эфиры, номенклатура и изомерия. Особенности физических и химических свойств.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 Представление о механизме реакций нуклеофильного замещения. Действие на организм человека. Способы получения и применение многоатомных спиртов.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Фенол. Строение молекулы, взаимное влияние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гидроксогруппы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бензольного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 смола.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гидроксикарбоновых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кислот. Представители высших карбоновых кислот: стеариновая, пальмитиновая, олеиновая, </w:t>
      </w:r>
      <w:proofErr w:type="spellStart"/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линолевая</w:t>
      </w:r>
      <w:proofErr w:type="spellEnd"/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линоленовая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кислоты. Способы получения и применение карбоновых кислот.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Сложные эфиры. Гомологический ряд, общая формула, изомерия и номенклатура. Физические и химические свойства: гидролиз в кислой и щелочной среде.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Мыла́ как соли высших карбоновых кислот, их моющее действие. 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углеводов. Классификация углеводов (мон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полисахариды). Моносахариды: глюкоза, фруктоза, галактоза, рибоза, 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дезоксирибоза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свойства и нахождение в природе. Фотосинтез.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свойства глюкозы: реакции с участием спиртовых и альдегидной групп, спиртовое и молочнокислое брожение.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глюкозы, её значение в жизнедеятельности организма. Дисахариды: сахароза, мальтоза и лактоза. Восстанавливающие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невосстанавливающие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иодом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Химические свойства целлюлозы: гидролиз, получение эфиров целлюлозы. Понятие об искусственных волокнах (вискоза, ацетатный шёлк).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диамминсеребра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(I) и гидроксидом меди(II)), реакция глицерина с гидроксидом меди(II), химические свойства раствора уксусной кислоты, взаимодействие раствора глюкозы с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гидроксидом меди(II), взаимодействие крахмала с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иодом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экспериментальных задач по темам «Спирты и фенолы», «Карбоновые кислоты. Сложные эфиры».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Азотсодержащие органические соединения.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Амины – органические производные аммиака. Классификация аминов: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алифатические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взаимодействие первичных аминов с азотистой кислотой. Соли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алкиламмония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Аминокислоты. Номенклатура и изомерия. Отдельные представители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α-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аминокислот: глицин,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аланин</w:t>
      </w:r>
      <w:proofErr w:type="spellEnd"/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Высокомолекулярные соединения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 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изопреновый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) и силиконы. Резина.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Волокна: натуральные (хлопок, шерсть, шёлк), искусственные (вискоза, ацетатное волокно), синтетические (капрон и лавсан).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Полимеры специального назначения (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тефлон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кевлар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электропроводящие полимеры,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биоразлагаемые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полимеры).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Расчётные задачи.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Межпредметные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связи.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так и понятий, принятых в отдельных предметах естественно-научного цикла.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География: полезные ископаемые, топливо.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КЛАСС</w:t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</w:p>
    <w:p w:rsidR="003766EA" w:rsidRPr="003766EA" w:rsidRDefault="003766EA" w:rsidP="003766E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ОБЩАЯ И НЕОРГАНИЧЕСКАЯ ХИМИЯ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химии.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Атом. Состав атомных ядер. Химический элемент. Изотопы.  Строение электронных оболочек атомов, квантовые числа. Энергетические уровни и подуровни. Атомные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 химических элементов (s-, p-, d-, f-элементы). Распределение электронов по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атомным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орбиталям</w:t>
      </w:r>
      <w:proofErr w:type="spellEnd"/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Электронные конфигурации атомов элементов первого–четвёртого периодов в основном и возбуждённом состоянии, электронные конфигурац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нов.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закон и Периодическая система химических элементов Д.И. 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 Менделеева.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Химическая связь. Виды химической связи: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ковалентная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ионная, металлическая. Механизмы образования ковалентной связи: обменный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лиганды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комплексных соединений. Понятие о координационной химии.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Вещества молекулярного и немолекулярного строения. Типы кристаллических решёток (структур) и свойства веществ.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дисперсных системах. Истинные растворы. 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химической реакции, её зависимость от различных факторов. Гомогенные и гетерогенные реакции. Катализ и катализаторы.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Обратимые и необратимые реакции. Химическое равновесие. 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раствора. Гидролиз солей. Реакц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обмена.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Неорганическая химия.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неметаллов в Периодической системе химических элементов Д.И. Менделеева и особенности строения их атомов. Физические свойства неметаллов. Аллотропия неметаллов (на примере кислорода, серы, фосфора и углерода).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Получение, физические и химические свойства: реакции с металлами и неметаллами, восстановительные свойства. Гидриды. Топливные элементы.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Сера. Нахождение в природе, способы получения, физические и химические свойства. Сероводород, сульфиды. Оксид серы(IV), оксид серы(VI). Сернистая и серная кислоты и их соли. Особенности свойств серной кислоты. Применение серы и её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Углерод, нахождение в природе. Аллотропные модификации. Физические и химические свойства простых веществ, образованных углеродом. Оксид углерода(II), оксид углерода(IV), угольная кислота и её соли. Активированный уголь, адсорбция. Фуллерены,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углеродные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нанотрубки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Применение простых веществ, образованных углеродом, и его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Кремний. Нахождение в природе, способы получения, физические и химические свойства. Оксид кремния(IV), кремниевая кислота, силикаты. Применение кремния и его соединений. Стекло, его получение, виды стекла.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металлов IIA-группы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гидроксокомплексы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Физические и химические свойства хрома и его соединений. Оксиды и гидроксиды хрома(II), хрома(III) и хрома(VI). Хроматы и дихроматы, их окислительные свойства. Получение и применение хрома.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химические свойства марганца и его соединений. Важнейшие соединения марганца(II), марганца(IV), марганца(VI) и марганца(VII). Перманганат калия, его окислительные свойства.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химические свойства железа и его соединений. Оксиды, гидроксиды и соли железа(II) и железа(III). Получение и применение железа и его сплавов.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химические свойства меди и её соединений. Получение и применение меди и её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гидроксокомплексы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цинка. Применение цинка и его соединений.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Экспериментальные методы изучения веществ и их превращений: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щелочей, решение экспериментальных задач по темам «Галогены», «Сера и её соединения», «Азот 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соединения», «Металлы главных подгрупп», «Металлы побочных подгрупп».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 и жизнь.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 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пищи: основные компоненты, пищевые добавки. Роль химии в обеспечении пищевой безопасности.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Косметические и парфюмерные средства. Бытовая химия. Правила безопасного использования препаратов бытовой химии в повседневной жизни.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в строительстве: важнейшие строительные материалы (цемент, бетон).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в сельском хозяйстве. Органические и минеральные удобрения.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конструкционные материалы, краски, стекло, керамика. Материалы для электроники. 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Расчётные задачи.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выхода продукта реакции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 возможного.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Межпредметные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связи.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так и понятий, принятых в отдельных предметах естественно-научного цикла.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минералы, горные породы, полезные ископаемые, топливо, ресурсы.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37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 w:rsidRPr="0037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EA" w:rsidRDefault="003766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РЕЗУЛЬТАТЫ​</w:t>
      </w:r>
    </w:p>
    <w:p w:rsidR="003766EA" w:rsidRPr="003766EA" w:rsidRDefault="003766EA" w:rsidP="00376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системно-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ставить цели и строить жизненные планы.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предмета «Химия» отражают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3766EA" w:rsidRPr="003766EA" w:rsidRDefault="003766EA" w:rsidP="003766E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предмета «Химия» отражают </w:t>
      </w:r>
      <w:proofErr w:type="spellStart"/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</w:t>
      </w:r>
    </w:p>
    <w:p w:rsidR="003766EA" w:rsidRPr="003766EA" w:rsidRDefault="003766EA" w:rsidP="003766E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гражданского воспитания</w:t>
      </w: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осознания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конституционных прав и обязанностей, уважения к закону и правопорядку;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социальных нормах и правилах межличностных отношений в коллективе;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патриотического воспитания: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 отношения к историческому и научному наследию отечественной химии;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3) духовно-нравственного воспитания: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 сознания, этического поведения;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формирования культуры здоровья: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правил безопасного обращения с веществами в быту, повседневной жизни, в трудовой деятельности;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ценности правил индивидуального и коллективного безопасного поведения в ситуациях, угрожающих здоровью и жизни людей;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последствий и неприятия вредных привычек (употребления алкоголя, наркотиков, курения);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трудового воспитания: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на активное участие в решении практических задач социальной направленности (в рамках своего класса, школы);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практическому изучению профессий различного рода, в том числе на основе применения предметных знаний по химии;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труду, людям труда и результатам трудовой деятельности;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 экологического воспитания: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целесообразного отношения к природе как источнику существования жизни на Земле;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понимания глобального характера экологических проблем, влияния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процессов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состояние природной и социальной среды;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хемофобии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66EA" w:rsidRPr="003766EA" w:rsidRDefault="003766EA" w:rsidP="00376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 ценности научного познания: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мировоззрения, соответствующего современному уровню развития науки и общественной практики;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познанию, исследовательской деятельности;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особенностям труда в различных сферах профессиональной деятельности.</w:t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Метапредметные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по химии на уровне среднего общего образования включают: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для формирования мировоззрения обучающихся междисциплинарные (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(познавательные, коммуникативные, регулятивные), обеспечивающие формирование функциональной грамотности и социальной компетенции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3766EA" w:rsidRPr="003766EA" w:rsidRDefault="003766EA" w:rsidP="003766E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3766EA" w:rsidRPr="003766EA" w:rsidRDefault="003766EA" w:rsidP="003766E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базовые логические действия: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её всесторонне;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основания и критерии для классификации веществ и химических реакций;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изучаемыми явлениями;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рассуждения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в процессе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базовые исследовательские действия: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основами методов научного познания веществ и химических реакций;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работа с информацией: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запросы и применять различные методы при поиске и отборе информации, необходимой для выполнения учебных задач определённого типа;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использования информационно-коммуникативных технологий и различных поисковых систем;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(физические и математические) знаки и символы, формулы, аббревиатуры, номенклатуру;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наглядности.</w:t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с 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самоконтроль деятельности на основе самоанализа и самооценки.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39840030"/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РЕЗУЛЬТАТЫ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по химии предметные результаты представлены по годам изучения.</w:t>
      </w:r>
    </w:p>
    <w:bookmarkEnd w:id="1"/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«Органическая химия» отражают: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s-, p-, d-атомные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основное и возбуждённое состояния атома, гибридизация атомных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ион, молекула, валентность,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 оптическая), изомеры, гомологический ряд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гомологи, углеводороды, кислоро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азотсодержащие органические соединения, мономер, полимер, структурное звено, высокомолекулярные 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соединения; теории, законы (периодический закон Д. И. Менделеева, теория строения органических веществ А. М. 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мезомерный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ориентанты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и II рода);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фактологические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 выявлять характерные признаки понятий, устанавливать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взаимосвязь, использовать соответствующие понятия при описании состава, строения и свойств органических соединений;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химическую символику для составления молекулярных и структурных (развёрнутых, сокращённых и скелетных) формул органических веществ;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 уравнения химических реакций и раскрывать их сущность: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 модели молекул органических веще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иллюстрации их химического и пространственного строения;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устанавливать принадлежность изученных органических веществ по их составу и строению к определённому классу/группе соединений, давать им названия по систематической номенклатуре (IUPAC) и приводить 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аланин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мальтоза, фруктоза, анилин, дивинил, изопрен, хлоропрен, стирол и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другие);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определять вид химической связи в органических соединениях (ковалентная и ионная связь, σ- 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π-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связь, водородная связь);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применять положения теории строения органических веществ А. М. Бутлерова для объяснения зависимости свойств веществ от их состава и строения;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 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аминов, аминокислот, белков, углеводов (мон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полисахаридов),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подтверждать на конкретных примерах характер зависимости реакционной способности органических соединений от кратности и типа ковалентной связи (σ- и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π-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связи), взаимного влияния атомов и групп атомов в молекулах;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владения системой знаний о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выявлять взаимосвязь химических знаний с понятиями и представлениями других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для более осознанного понимания сущности материального единства мира, использовать системные знания по органической химии для объяснения и прогнозирования явлений, имеющих естественно-научную природу;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знания для принятия грамотных решений проблем в ситуациях, связанных с химией;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их достоверность;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целесообразность применения органических веще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омышленности и в быту с точки зрения соотношения риск-польза;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 анализировать химическую информацию, перерабатывать её и использовать в соответствии с поставленной учебной задачей.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«Общая и неорганическая химия» отражают: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здоровью и природной среде;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s-, p-, d-атомные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основное и возбуждённое состояния атома, гибридизация атомных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ион, молекула, валентность,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электролитическая диссоциация, степень диссоциации, водородный показатель, окислитель, восстановитель, тепловой эффект химической реакции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скорость химической реакции, химическое равновесие; теории и законы (теория электролитической диссоциации, периодический закон Д.И. 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кинетических закономерностях их протекания, о химическом равновесии, растворах и дисперсных системах;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фактологические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выявлять характерные признаки понятий, устанавливать их взаимосвязь, использовать соответствующие понятия при описании неорганических веществ и их превращений;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отдельных веществ;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 выбирать основания и критерии для классификации изучаемых веществ и химических реакций;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раскрывать смысл периодического закона Д. И. Менделеева и демонстрировать его систематизирующую, объяснительную и прогностическую функции;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 Менделеева, используя понятия «энергетические уровни», «энергетические подуровни», «s-, p-, d-атомные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орбитали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«основное и возбуждённое энергетические состояния атома»;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изменения свойств химических элементов и их соединений по периодам и группам Периодической системы Д. И. Менделеева, валентные возможности атомов элементов на основе строения их электронных оболочек;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характеризовать (описывать) общие химические свойства веществ различных классов, подтверждать 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раскрывать сущность: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комплексообразования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гидроксокомплексов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цинка и алюминия);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Шателье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омышленности и в быту с точки зрения соотношения риск-польза;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 применять 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выявлять взаимосвязь химических знаний с понятиями и представлениями других </w:t>
      </w:r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для более осознанного понимания материального единства мира;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 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proofErr w:type="gram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достоверность;</w:t>
      </w:r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proofErr w:type="gram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 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 осознавать опасность токсического действия на живые организмы определённых неорганических веществ, понимая смысл показателя ПДК;</w:t>
      </w:r>
      <w:proofErr w:type="gramEnd"/>
    </w:p>
    <w:p w:rsidR="003766EA" w:rsidRPr="003766EA" w:rsidRDefault="003766EA" w:rsidP="003766E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химическую информацию, перерабатывать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и использовать</w:t>
      </w:r>
      <w:r w:rsidRPr="00376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7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поставленной учебной задачей.</w:t>
      </w:r>
    </w:p>
    <w:p w:rsidR="003766EA" w:rsidRDefault="003766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02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539"/>
        <w:gridCol w:w="652"/>
        <w:gridCol w:w="1567"/>
        <w:gridCol w:w="1624"/>
        <w:gridCol w:w="2394"/>
      </w:tblGrid>
      <w:tr w:rsidR="003766EA" w:rsidRPr="003766EA" w:rsidTr="003766EA">
        <w:trPr>
          <w:trHeight w:val="291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766EA" w:rsidRPr="003766EA" w:rsidTr="003766EA">
        <w:trPr>
          <w:trHeight w:val="568"/>
          <w:tblHeader/>
          <w:tblCellSpacing w:w="15" w:type="dxa"/>
        </w:trPr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органической химии</w:t>
            </w:r>
          </w:p>
        </w:tc>
      </w:tr>
      <w:tr w:rsidR="003766EA" w:rsidRPr="003766EA" w:rsidTr="003766EA">
        <w:trPr>
          <w:trHeight w:val="52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Углеводороды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Предельные углеводороды —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циклоалканы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Непредельные углеводороды: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алкены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алкины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Ароматические углеводороды (арены)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источники углеводородов и их переработка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Галогенпроизводные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углеводородов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Кислородсодержащие органические соединения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Спирты. Фенол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Азотсодержащие органические соединения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Амины. Аминокислоты. Белки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Высокомолекулярные соединения</w:t>
            </w: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Высокомолекулярные соединения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модуль</w:t>
            </w:r>
          </w:p>
        </w:tc>
      </w:tr>
      <w:tr w:rsidR="003766EA" w:rsidRPr="003766EA" w:rsidTr="003766EA">
        <w:trPr>
          <w:trHeight w:val="262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раздел</w:t>
            </w:r>
          </w:p>
        </w:tc>
      </w:tr>
      <w:tr w:rsidR="003766EA" w:rsidRPr="003766EA" w:rsidTr="003766EA">
        <w:trPr>
          <w:trHeight w:val="277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02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3402"/>
        <w:gridCol w:w="652"/>
        <w:gridCol w:w="1587"/>
        <w:gridCol w:w="1644"/>
        <w:gridCol w:w="2483"/>
      </w:tblGrid>
      <w:tr w:rsidR="003766EA" w:rsidRPr="003766EA" w:rsidTr="003766EA">
        <w:trPr>
          <w:trHeight w:val="425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766EA" w:rsidRPr="003766EA" w:rsidTr="003766EA">
        <w:trPr>
          <w:trHeight w:val="830"/>
          <w:tblHeader/>
          <w:tblCellSpacing w:w="15" w:type="dxa"/>
        </w:trPr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химии</w:t>
            </w:r>
          </w:p>
        </w:tc>
      </w:tr>
      <w:tr w:rsidR="003766EA" w:rsidRPr="003766EA" w:rsidTr="003766EA">
        <w:trPr>
          <w:trHeight w:val="766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Строение вещества. Многообразие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Неорганическая химия</w:t>
            </w: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766E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Химия и жизнь</w:t>
            </w: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познания в химии. Химия и жизнь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383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модуль</w:t>
            </w:r>
          </w:p>
        </w:tc>
      </w:tr>
      <w:tr w:rsidR="003766EA" w:rsidRPr="003766EA" w:rsidTr="003766EA">
        <w:trPr>
          <w:trHeight w:val="404"/>
          <w:tblCellSpacing w:w="15" w:type="dxa"/>
        </w:trPr>
        <w:tc>
          <w:tcPr>
            <w:tcW w:w="0" w:type="auto"/>
            <w:gridSpan w:val="6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раздел</w:t>
            </w:r>
          </w:p>
        </w:tc>
      </w:tr>
      <w:tr w:rsidR="003766EA" w:rsidRPr="003766EA" w:rsidTr="003766EA">
        <w:trPr>
          <w:trHeight w:val="702"/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EA" w:rsidRDefault="003766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ПОУРОЧНОЕ ПЛАНИРОВАНИЕ</w:t>
      </w:r>
    </w:p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02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152"/>
        <w:gridCol w:w="652"/>
        <w:gridCol w:w="1471"/>
        <w:gridCol w:w="1528"/>
        <w:gridCol w:w="1020"/>
        <w:gridCol w:w="1953"/>
      </w:tblGrid>
      <w:tr w:rsidR="003766EA" w:rsidRPr="003766EA" w:rsidTr="003766EA">
        <w:trPr>
          <w:trHeight w:val="142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766EA" w:rsidRPr="003766EA" w:rsidTr="003766EA">
        <w:trPr>
          <w:trHeight w:val="142"/>
          <w:tblHeader/>
          <w:tblCellSpacing w:w="15" w:type="dxa"/>
        </w:trPr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Электронное строение атома углерода (основное и возбуждённое состояния). Валентные возможности атома углерода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Теория строения органических соединений А. М. Бутлерова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о классификации и систематическая номенклатура (IUPAC) органических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реакций в органической химии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Физические и химические свойства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Нахождение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природе. Способы получения и применение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Циклоалканы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расчётных задач на определение молекулярной формулы органического вещества по массовым долям атомов элементов, входящих в его состав. 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Алкены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: гомологический ряд, общая формула, номенклатура, электронное и пространственное строение молекул. Структурная и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цис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-транс-изомерия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Физические и химические свойства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алкенов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Правило Марковникова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Способы получения и применение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сопряжённых диенов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Способы получения и применение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алкадиенов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Алкины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алкинов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Качественные реакции на тройную связь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Способы получения и применение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алкинов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задач: расчёты по уравнению химической реакции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аренов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реакции замещения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аренов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реакции присоединения, окисление гомологов бензола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химических свой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ств ст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ирола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Способы получения и применение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аренов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Природный газ. Попутные нефтяные газы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Каменный уголь и продукты его переработки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Нефть и способы её переработки. Применение продуктов переработки нефти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Действие щелочей на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галогенпроизводные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Взаимодействие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дигалогеналканов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магнием и цинком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"Углеводороды"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предельных одноатомных спиртов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и применение одноатомных спиртов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и применение многоатомных спиртов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Фенол: строение молекулы, физические свойства. Токсичность фенола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фенола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введите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введите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введите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и применение фенола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альдегидов и кетонов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816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гидроксикарбоновых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кислот. Представители высших карбоновых кислот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производных карбоновых кислот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и применение карбоновых кислот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Физические и химические свойства эфиров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3. Решение экспериментальных задач по теме "Карбоновые кислоты. Сложные эфиры"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Жиры: строение, физические и химические свойства (гидролиз)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свойств жиров, содержащих остатки непредельных жирных кислот. Жиры в природе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Расчёты по уравнениям химических реакций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характеристика углеводов и классификация углеводов (мон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 полисахариды)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Моносахариды: физические свойства и нахождение в природе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искусственных волокнах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Решение расчетных задач на определение доли выхода продукта реакции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теоретически возможного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разделу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алифатических аминов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и применение алифатических аминов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Аминокислоты: номенклатура и изомерия, физические свойства. Отдельные представители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α-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аминокислот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аминокислот, их биологическое значение аминокислот. Синтез и гидролиз пептидов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Белки как природные полимеры; структуры белков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свойства белков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—п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олимеризация и поликонденсация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Пластмассы. Утилизация и переработка пластика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Эластомеры: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натуральный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синтетические каучуки. Резина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4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49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7"/>
          <w:tblCellSpacing w:w="15" w:type="dxa"/>
        </w:trPr>
        <w:tc>
          <w:tcPr>
            <w:tcW w:w="0" w:type="auto"/>
            <w:gridSpan w:val="7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282"/>
          <w:tblCellSpacing w:w="15" w:type="dxa"/>
        </w:trPr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99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015"/>
        <w:gridCol w:w="652"/>
        <w:gridCol w:w="1455"/>
        <w:gridCol w:w="1512"/>
        <w:gridCol w:w="1009"/>
        <w:gridCol w:w="1887"/>
      </w:tblGrid>
      <w:tr w:rsidR="003766EA" w:rsidRPr="003766EA" w:rsidTr="003766EA">
        <w:trPr>
          <w:trHeight w:val="143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766EA" w:rsidRPr="003766EA" w:rsidTr="003766EA">
        <w:trPr>
          <w:trHeight w:val="143"/>
          <w:tblHeader/>
          <w:tblCellSpacing w:w="15" w:type="dxa"/>
        </w:trPr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Атом. Состав атомных ядер. Химический элемент. Изотопы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Строение электронных оболочек атомов, квантовые числа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химических элементов (s-, p-, d-, f-элементы)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Распределение электронов по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атомным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орбиталям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конфигурац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нов.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 химической связи.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Механизмы образования ковалентной связи. Водородная связь. Межмолекулярные взаимодействия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введите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введите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введите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Истинные растворы: насыщенные и ненасыщенные, растворимость. Кристаллогидраты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выражения концентрации растворов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и номенклатура неорганических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темам "Строение атома. Периодический закон и Периодическая система химических элементов Д. И. Менделеева", "Строение вещества. Многообразие веществ"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Скорость химической реакции, её зависимость от различных факторов. Катализ и катализаторы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Гомогенные и гетерогенные реакции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Обратимые и необратимые реакции. Химическое равновесие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Электролитическая диссоциация. Сильные и слабые электролиты. Степень диссоциации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Ионное произведение воды. Среда водных растворов. Водородный показатель (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 раствора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Практическая работа № 3 по теме "Химические реакции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 растворах электролитов"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 электронного (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электонно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-ионного) баланса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Электролиз растворов и расплавов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"Химические реакции"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Положение неметаллов в Периодической системе химических элементов Д. И. Менделеева и особенности строения их атомов. Физические свойства неметаллов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Водород: получение, физические и химические свойства. Гидриды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Галогеноводороды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Важнейшие кислородсодержащие соединения галогенов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Кислород: лабораторные и промышленные способы получения, физические и химические свойства. Озон. Применение кислорода и озона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Оксиды и пероксиды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Сероводород, сульфиды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Азот: нахождение в природе, способы получения, физические и химические свойства. Аммиак, нитриды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азота и его соединений. Азотные удобрения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Фосфор: нахождение в природе, способы получения, физические и химические свойства.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Фосфиды и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фосфин</w:t>
            </w:r>
            <w:proofErr w:type="spellEnd"/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фосфора и его соединений. Фосфорные удобрения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фосфор</w:t>
            </w:r>
            <w:proofErr w:type="gram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их соединения"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43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Оксид углерода(II), оксид углерода(IV), угольная кислота и её соли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Оксид кремния(IV), кремниевая кислота, силикаты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 "Неметаллы"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"Неметаллы"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результатов контрольной работы, коррекция ошибок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836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Положение металлов в Периодической системе химических элементов. Особенности строения электронных оболочек атомов металлов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Сплавы металлов. Коррозия металлов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090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1105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характеристика металлов IIA-группы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Жёсткость воды и способы её устранения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Амфотерные свойства оксида и гидроксида алюминия,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гидроксокомплексы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алюминия, их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Гидроксокомплексы</w:t>
            </w:r>
            <w:proofErr w:type="spellEnd"/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цинка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различных типов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"Металлы"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Анализ результатов контрольной работы, </w:t>
            </w: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коррекция ошибок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Химическое загрязнение окружающей среды и его последствия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Химия и здоровье человека. Лекарственные средства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Химия пищи. Роль химии в обеспечении пищевой безопасности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37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Косметические и парфюмерные средства. Бытовая химия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552"/>
          <w:tblCellSpacing w:w="15" w:type="dxa"/>
        </w:trPr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766EA" w:rsidRPr="003766EA" w:rsidTr="003766EA">
        <w:trPr>
          <w:trHeight w:val="268"/>
          <w:tblCellSpacing w:w="15" w:type="dxa"/>
        </w:trPr>
        <w:tc>
          <w:tcPr>
            <w:tcW w:w="0" w:type="auto"/>
            <w:gridSpan w:val="7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3766EA" w:rsidRPr="003766EA" w:rsidTr="003766EA">
        <w:trPr>
          <w:trHeight w:val="508"/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766EA" w:rsidRPr="003766EA" w:rsidRDefault="003766EA" w:rsidP="003766E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766EA" w:rsidRPr="003766EA" w:rsidRDefault="003766EA" w:rsidP="003766E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6E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766EA" w:rsidRPr="003766EA" w:rsidRDefault="003766EA" w:rsidP="003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66EA" w:rsidRPr="003766EA" w:rsidRDefault="003766EA" w:rsidP="003766E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3766EA" w:rsidRPr="003766EA" w:rsidRDefault="003766EA" w:rsidP="003766E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3766EA" w:rsidRPr="003766EA" w:rsidRDefault="003766EA" w:rsidP="003766E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​‌• Химия, 11 класс/ Габриелян О.С., Остроумов И.Г., Сладков С.А., Лёвкин А.Н., Акционерное общество «Издательство «Просвещение»</w:t>
      </w:r>
      <w:r w:rsidRPr="003766E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</w:p>
    <w:p w:rsidR="003766EA" w:rsidRPr="003766EA" w:rsidRDefault="003766EA" w:rsidP="003766E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3766EA" w:rsidRPr="003766EA" w:rsidRDefault="003766EA" w:rsidP="003766EA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​</w:t>
      </w:r>
    </w:p>
    <w:p w:rsidR="003766EA" w:rsidRPr="003766EA" w:rsidRDefault="003766EA" w:rsidP="003766E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3766EA" w:rsidRDefault="003766EA" w:rsidP="003766EA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766EA" w:rsidRPr="003766EA" w:rsidRDefault="003766EA" w:rsidP="003766EA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766EA" w:rsidRPr="003766EA" w:rsidRDefault="003766EA" w:rsidP="003766E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3766EA" w:rsidRPr="003766EA" w:rsidRDefault="003766EA" w:rsidP="003766E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376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</w:t>
      </w:r>
    </w:p>
    <w:p w:rsidR="003766EA" w:rsidRPr="003766EA" w:rsidRDefault="003766EA" w:rsidP="003766E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C2B" w:rsidRPr="000B35BD" w:rsidRDefault="007F5C2B"/>
    <w:sectPr w:rsidR="007F5C2B" w:rsidRPr="000B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DB1"/>
    <w:multiLevelType w:val="multilevel"/>
    <w:tmpl w:val="D6E4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824D0A"/>
    <w:multiLevelType w:val="multilevel"/>
    <w:tmpl w:val="820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B01180"/>
    <w:multiLevelType w:val="multilevel"/>
    <w:tmpl w:val="3DB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831E06"/>
    <w:multiLevelType w:val="multilevel"/>
    <w:tmpl w:val="24A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BD"/>
    <w:rsid w:val="000B35BD"/>
    <w:rsid w:val="003766EA"/>
    <w:rsid w:val="007D37BA"/>
    <w:rsid w:val="007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5BD"/>
    <w:rPr>
      <w:b/>
      <w:bCs/>
    </w:rPr>
  </w:style>
  <w:style w:type="character" w:customStyle="1" w:styleId="placeholder-mask">
    <w:name w:val="placeholder-mask"/>
    <w:basedOn w:val="a0"/>
    <w:rsid w:val="000B35BD"/>
  </w:style>
  <w:style w:type="character" w:customStyle="1" w:styleId="placeholder">
    <w:name w:val="placeholder"/>
    <w:basedOn w:val="a0"/>
    <w:rsid w:val="000B35BD"/>
  </w:style>
  <w:style w:type="character" w:styleId="a5">
    <w:name w:val="Emphasis"/>
    <w:basedOn w:val="a0"/>
    <w:uiPriority w:val="20"/>
    <w:qFormat/>
    <w:rsid w:val="003766EA"/>
    <w:rPr>
      <w:i/>
      <w:iCs/>
    </w:rPr>
  </w:style>
  <w:style w:type="table" w:styleId="a6">
    <w:name w:val="Table Grid"/>
    <w:basedOn w:val="a1"/>
    <w:uiPriority w:val="39"/>
    <w:rsid w:val="007D37B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5BD"/>
    <w:rPr>
      <w:b/>
      <w:bCs/>
    </w:rPr>
  </w:style>
  <w:style w:type="character" w:customStyle="1" w:styleId="placeholder-mask">
    <w:name w:val="placeholder-mask"/>
    <w:basedOn w:val="a0"/>
    <w:rsid w:val="000B35BD"/>
  </w:style>
  <w:style w:type="character" w:customStyle="1" w:styleId="placeholder">
    <w:name w:val="placeholder"/>
    <w:basedOn w:val="a0"/>
    <w:rsid w:val="000B35BD"/>
  </w:style>
  <w:style w:type="character" w:styleId="a5">
    <w:name w:val="Emphasis"/>
    <w:basedOn w:val="a0"/>
    <w:uiPriority w:val="20"/>
    <w:qFormat/>
    <w:rsid w:val="003766EA"/>
    <w:rPr>
      <w:i/>
      <w:iCs/>
    </w:rPr>
  </w:style>
  <w:style w:type="table" w:styleId="a6">
    <w:name w:val="Table Grid"/>
    <w:basedOn w:val="a1"/>
    <w:uiPriority w:val="39"/>
    <w:rsid w:val="007D37B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13783</Words>
  <Characters>78565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HPDemo</dc:creator>
  <cp:lastModifiedBy>Гильмиянова Зоя Бариевна</cp:lastModifiedBy>
  <cp:revision>2</cp:revision>
  <dcterms:created xsi:type="dcterms:W3CDTF">2023-09-11T03:56:00Z</dcterms:created>
  <dcterms:modified xsi:type="dcterms:W3CDTF">2023-09-11T03:56:00Z</dcterms:modified>
</cp:coreProperties>
</file>